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5" w:rsidRDefault="00236B0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kern w:val="0"/>
          <w:lang w:eastAsia="en-US"/>
        </w:rPr>
        <w:t>GO.7000.38.2023</w:t>
      </w:r>
      <w:r>
        <w:rPr>
          <w:rFonts w:ascii="Times New Roman" w:hAnsi="Times New Roman" w:cs="Times New Roman"/>
        </w:rPr>
        <w:t xml:space="preserve">                                                                            Leśna, dn. </w:t>
      </w:r>
      <w:r>
        <w:rPr>
          <w:rFonts w:ascii="Times New Roman" w:eastAsiaTheme="minorHAnsi" w:hAnsi="Times New Roman" w:cs="Times New Roman"/>
          <w:kern w:val="0"/>
          <w:lang w:eastAsia="en-US"/>
        </w:rPr>
        <w:t>06.</w:t>
      </w:r>
      <w:r>
        <w:rPr>
          <w:rFonts w:ascii="Times New Roman" w:hAnsi="Times New Roman" w:cs="Times New Roman"/>
        </w:rPr>
        <w:t>06.2023r.</w:t>
      </w:r>
    </w:p>
    <w:p w:rsidR="007B7425" w:rsidRDefault="007B7425">
      <w:pPr>
        <w:rPr>
          <w:rFonts w:ascii="Times New Roman" w:hAnsi="Times New Roman" w:cs="Times New Roman"/>
        </w:rPr>
      </w:pPr>
    </w:p>
    <w:p w:rsidR="007B7425" w:rsidRDefault="00236B0B">
      <w:pPr>
        <w:tabs>
          <w:tab w:val="left" w:pos="52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425" w:rsidRDefault="007B7425">
      <w:pPr>
        <w:tabs>
          <w:tab w:val="left" w:pos="5208"/>
        </w:tabs>
        <w:ind w:left="4956"/>
        <w:rPr>
          <w:rFonts w:ascii="Times New Roman" w:hAnsi="Times New Roman" w:cs="Times New Roman"/>
          <w:b/>
          <w:bCs/>
        </w:rPr>
      </w:pPr>
    </w:p>
    <w:p w:rsidR="007B7425" w:rsidRDefault="00236B0B">
      <w:pPr>
        <w:tabs>
          <w:tab w:val="left" w:pos="5208"/>
        </w:tabs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Pani </w:t>
      </w:r>
    </w:p>
    <w:p w:rsidR="007B7425" w:rsidRDefault="00236B0B">
      <w:pPr>
        <w:tabs>
          <w:tab w:val="left" w:pos="5208"/>
        </w:tabs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Beata Cichocka - </w:t>
      </w:r>
      <w:proofErr w:type="spellStart"/>
      <w:r>
        <w:rPr>
          <w:rFonts w:ascii="Times New Roman" w:hAnsi="Times New Roman" w:cs="Times New Roman"/>
          <w:b/>
          <w:bCs/>
        </w:rPr>
        <w:t>Kurdziko</w:t>
      </w:r>
      <w:proofErr w:type="spellEnd"/>
    </w:p>
    <w:p w:rsidR="007B7425" w:rsidRDefault="00236B0B">
      <w:pPr>
        <w:tabs>
          <w:tab w:val="left" w:pos="5208"/>
        </w:tabs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Radna Rady Miejskiej w Leśnej</w:t>
      </w:r>
    </w:p>
    <w:p w:rsidR="007B7425" w:rsidRDefault="007B7425">
      <w:pPr>
        <w:rPr>
          <w:rFonts w:ascii="Times New Roman" w:hAnsi="Times New Roman" w:cs="Times New Roman"/>
        </w:rPr>
      </w:pPr>
    </w:p>
    <w:p w:rsidR="007B7425" w:rsidRDefault="007B7425">
      <w:pPr>
        <w:rPr>
          <w:rFonts w:ascii="Times New Roman" w:hAnsi="Times New Roman" w:cs="Times New Roman"/>
        </w:rPr>
      </w:pPr>
    </w:p>
    <w:p w:rsidR="007B7425" w:rsidRDefault="00236B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odpowiedzi na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interpelację z dnia 26 maja 2023 roku odnośnie </w:t>
      </w:r>
      <w:r>
        <w:rPr>
          <w:rFonts w:ascii="Times New Roman" w:eastAsiaTheme="minorHAnsi" w:hAnsi="Times New Roman" w:cs="Times New Roman"/>
          <w:kern w:val="0"/>
          <w:lang w:eastAsia="en-US"/>
        </w:rPr>
        <w:t>„Analizy i oceny stanu gospodarki odpadami komunalnymi na terenie Gminy Leśna za 2022 rok”</w:t>
      </w:r>
      <w:r>
        <w:rPr>
          <w:rFonts w:ascii="Times New Roman" w:hAnsi="Times New Roman" w:cs="Times New Roman"/>
        </w:rPr>
        <w:t xml:space="preserve"> informuję, że        w latach 2019-2022 w zakresie związanym z gospodarką odpadami odnośnie organów uprawnionych do interwencji w tym zakresie zarejestrowano 218 spr</w:t>
      </w:r>
      <w:r>
        <w:rPr>
          <w:rFonts w:ascii="Times New Roman" w:hAnsi="Times New Roman" w:cs="Times New Roman"/>
        </w:rPr>
        <w:t xml:space="preserve">aw wg </w:t>
      </w:r>
      <w:r>
        <w:rPr>
          <w:rFonts w:ascii="Times New Roman" w:eastAsiaTheme="minorHAnsi" w:hAnsi="Times New Roman" w:cs="Times New Roman"/>
          <w:kern w:val="0"/>
          <w:lang w:eastAsia="en-US"/>
        </w:rPr>
        <w:t>poniższej tabeli.</w:t>
      </w:r>
    </w:p>
    <w:p w:rsidR="007B7425" w:rsidRDefault="007B7425">
      <w:pPr>
        <w:spacing w:line="360" w:lineRule="auto"/>
        <w:jc w:val="both"/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531"/>
        <w:gridCol w:w="1920"/>
        <w:gridCol w:w="1710"/>
        <w:gridCol w:w="1815"/>
      </w:tblGrid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instytucja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 rok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rok</w:t>
            </w:r>
          </w:p>
        </w:tc>
        <w:tc>
          <w:tcPr>
            <w:tcW w:w="1710" w:type="dxa"/>
          </w:tcPr>
          <w:p w:rsidR="007B7425" w:rsidRDefault="00236B0B">
            <w:pPr>
              <w:pStyle w:val="Zawartotabeli"/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rok</w:t>
            </w:r>
          </w:p>
        </w:tc>
        <w:tc>
          <w:tcPr>
            <w:tcW w:w="1815" w:type="dxa"/>
          </w:tcPr>
          <w:p w:rsidR="007B7425" w:rsidRDefault="00236B0B">
            <w:pPr>
              <w:pStyle w:val="Zawartotabeli"/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rok</w:t>
            </w:r>
          </w:p>
        </w:tc>
      </w:tr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Komisariat Policji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wysłana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wysłanych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zadekretowanych</w:t>
            </w:r>
          </w:p>
        </w:tc>
        <w:tc>
          <w:tcPr>
            <w:tcW w:w="171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wysłanych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zadekretowanych</w:t>
            </w:r>
          </w:p>
        </w:tc>
        <w:tc>
          <w:tcPr>
            <w:tcW w:w="1815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wysłanych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zadekretowanych</w:t>
            </w:r>
          </w:p>
        </w:tc>
      </w:tr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Wojewódzki Inspektor Ochrony Środowiska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wysłana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zadekretowana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wysłane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zadekretowanych</w:t>
            </w:r>
          </w:p>
        </w:tc>
        <w:tc>
          <w:tcPr>
            <w:tcW w:w="171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wysłane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zadekretowanych</w:t>
            </w:r>
          </w:p>
        </w:tc>
        <w:tc>
          <w:tcPr>
            <w:tcW w:w="1815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wysłanych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zadekretowanych</w:t>
            </w:r>
          </w:p>
        </w:tc>
      </w:tr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Powiatowa Stacja    Sanitarno-Epidemiologiczna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wysłana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zadekretowane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wysłane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zadekretowane</w:t>
            </w:r>
          </w:p>
        </w:tc>
        <w:tc>
          <w:tcPr>
            <w:tcW w:w="171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wysłane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zadekretowana</w:t>
            </w:r>
          </w:p>
        </w:tc>
        <w:tc>
          <w:tcPr>
            <w:tcW w:w="1815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</w:tr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Prokuratura </w:t>
            </w:r>
            <w:r>
              <w:rPr>
                <w:b/>
                <w:bCs/>
              </w:rPr>
              <w:t>Rejonowa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  <w:tc>
          <w:tcPr>
            <w:tcW w:w="171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wysłana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zadekretowana</w:t>
            </w:r>
          </w:p>
        </w:tc>
        <w:tc>
          <w:tcPr>
            <w:tcW w:w="1815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</w:tr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Starostwo Powiatowe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wysłana</w:t>
            </w: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zadekretowane</w:t>
            </w:r>
          </w:p>
        </w:tc>
        <w:tc>
          <w:tcPr>
            <w:tcW w:w="1710" w:type="dxa"/>
          </w:tcPr>
          <w:p w:rsidR="007B7425" w:rsidRDefault="007B7425">
            <w:pPr>
              <w:pStyle w:val="Zawartotabeli"/>
              <w:rPr>
                <w:sz w:val="20"/>
                <w:szCs w:val="20"/>
              </w:rPr>
            </w:pP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zadekretowana</w:t>
            </w:r>
          </w:p>
        </w:tc>
        <w:tc>
          <w:tcPr>
            <w:tcW w:w="1815" w:type="dxa"/>
          </w:tcPr>
          <w:p w:rsidR="007B7425" w:rsidRDefault="007B7425">
            <w:pPr>
              <w:pStyle w:val="Zawartotabeli"/>
              <w:rPr>
                <w:sz w:val="20"/>
                <w:szCs w:val="20"/>
              </w:rPr>
            </w:pP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zadekretowane</w:t>
            </w:r>
          </w:p>
        </w:tc>
      </w:tr>
      <w:tr w:rsidR="007B7425">
        <w:tc>
          <w:tcPr>
            <w:tcW w:w="2099" w:type="dxa"/>
          </w:tcPr>
          <w:p w:rsidR="007B7425" w:rsidRDefault="00236B0B">
            <w:pPr>
              <w:pStyle w:val="Zawartotabeli"/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Sąd Rejonowy</w:t>
            </w:r>
          </w:p>
        </w:tc>
        <w:tc>
          <w:tcPr>
            <w:tcW w:w="1531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  <w:tc>
          <w:tcPr>
            <w:tcW w:w="1920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spraw</w:t>
            </w:r>
          </w:p>
        </w:tc>
        <w:tc>
          <w:tcPr>
            <w:tcW w:w="1710" w:type="dxa"/>
          </w:tcPr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wysłane</w:t>
            </w:r>
          </w:p>
        </w:tc>
        <w:tc>
          <w:tcPr>
            <w:tcW w:w="1815" w:type="dxa"/>
          </w:tcPr>
          <w:p w:rsidR="007B7425" w:rsidRDefault="007B7425">
            <w:pPr>
              <w:pStyle w:val="Zawartotabeli"/>
              <w:rPr>
                <w:sz w:val="20"/>
                <w:szCs w:val="20"/>
              </w:rPr>
            </w:pPr>
          </w:p>
          <w:p w:rsidR="007B7425" w:rsidRDefault="00236B0B">
            <w:pPr>
              <w:pStyle w:val="Zawartotabeli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zadekretowana</w:t>
            </w:r>
          </w:p>
        </w:tc>
      </w:tr>
    </w:tbl>
    <w:p w:rsidR="007B7425" w:rsidRDefault="007B7425">
      <w:pPr>
        <w:spacing w:line="360" w:lineRule="auto"/>
        <w:rPr>
          <w:rFonts w:ascii="Times New Roman" w:hAnsi="Times New Roman" w:cs="Times New Roman"/>
        </w:rPr>
      </w:pPr>
    </w:p>
    <w:p w:rsidR="007B7425" w:rsidRDefault="00236B0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Urząd nie prowadzi </w:t>
      </w:r>
      <w:r>
        <w:rPr>
          <w:rFonts w:ascii="Times New Roman" w:hAnsi="Times New Roman" w:cs="Times New Roman"/>
        </w:rPr>
        <w:t>szczegółowego rejestru przedmiotowych spraw, zatem może udzielić informacji wyłącznie w zakresie podania ogólnej liczby wysłanych                              i zadekretowanych dokumentów.</w:t>
      </w:r>
    </w:p>
    <w:p w:rsidR="007B7425" w:rsidRDefault="00236B0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</w:p>
    <w:p w:rsidR="007B7425" w:rsidRDefault="00236B0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</w:p>
    <w:p w:rsidR="007B7425" w:rsidRDefault="007B742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B7425" w:rsidRDefault="00236B0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Jeśli chodzi o postępowania karno-skarbowe należą one do </w:t>
      </w:r>
      <w:r>
        <w:rPr>
          <w:rFonts w:ascii="Times New Roman" w:hAnsi="Times New Roman" w:cs="Times New Roman"/>
        </w:rPr>
        <w:t>obszaru zadań Ministra Finansów i są wszczynane przez wyznaczone organy.</w:t>
      </w:r>
    </w:p>
    <w:p w:rsidR="007B7425" w:rsidRDefault="00236B0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ab/>
        <w:t>Postępowań administracyjnych zostało wszczętych 6 z czego dwa umorzono.</w:t>
      </w:r>
    </w:p>
    <w:p w:rsidR="007B7425" w:rsidRDefault="00236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B7425" w:rsidRDefault="00236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B7425" w:rsidRDefault="007B742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B7425" w:rsidRDefault="007B742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B7425" w:rsidRDefault="00236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B7425" w:rsidRDefault="007B742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B7425" w:rsidRDefault="00236B0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Szymon Surmacz</w:t>
      </w:r>
    </w:p>
    <w:p w:rsidR="007B7425" w:rsidRDefault="00236B0B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Leśnej</w:t>
      </w:r>
    </w:p>
    <w:p w:rsidR="007B7425" w:rsidRDefault="00236B0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/podpisano elektronicznie</w:t>
      </w:r>
      <w:r>
        <w:rPr>
          <w:rFonts w:ascii="Times New Roman" w:hAnsi="Times New Roman" w:cs="Times New Roman"/>
        </w:rPr>
        <w:t>/</w:t>
      </w:r>
    </w:p>
    <w:p w:rsidR="007B7425" w:rsidRDefault="007B7425">
      <w:pPr>
        <w:jc w:val="both"/>
      </w:pPr>
    </w:p>
    <w:p w:rsidR="007B7425" w:rsidRDefault="007B7425">
      <w:pPr>
        <w:jc w:val="both"/>
      </w:pPr>
    </w:p>
    <w:p w:rsidR="007B7425" w:rsidRDefault="007B7425">
      <w:pPr>
        <w:jc w:val="both"/>
      </w:pPr>
    </w:p>
    <w:p w:rsidR="007B7425" w:rsidRDefault="007B7425">
      <w:pPr>
        <w:jc w:val="both"/>
      </w:pPr>
    </w:p>
    <w:p w:rsidR="007B7425" w:rsidRDefault="007B7425">
      <w:pPr>
        <w:jc w:val="both"/>
      </w:pPr>
    </w:p>
    <w:p w:rsidR="007B7425" w:rsidRDefault="007B7425">
      <w:pPr>
        <w:jc w:val="both"/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7B7425">
      <w:pPr>
        <w:spacing w:line="25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7425" w:rsidRDefault="00236B0B">
      <w:pPr>
        <w:spacing w:line="252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Sprawę prowadzi:</w:t>
      </w:r>
    </w:p>
    <w:p w:rsidR="007B7425" w:rsidRDefault="00236B0B">
      <w:pPr>
        <w:spacing w:line="252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Joanna Świerk</w:t>
      </w:r>
    </w:p>
    <w:p w:rsidR="007B7425" w:rsidRDefault="00236B0B">
      <w:pPr>
        <w:spacing w:line="252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  <w:t>Inspektor ds. gospodarki odpadowej i edukacji ekologicznej</w:t>
      </w:r>
    </w:p>
    <w:p w:rsidR="007B7425" w:rsidRDefault="00236B0B">
      <w:pPr>
        <w:spacing w:after="160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pok. nr 34 tel. 757242056  wew. 49</w:t>
      </w:r>
    </w:p>
    <w:sectPr w:rsidR="007B7425">
      <w:headerReference w:type="default" r:id="rId7"/>
      <w:pgSz w:w="11906" w:h="16838"/>
      <w:pgMar w:top="1418" w:right="1134" w:bottom="1418" w:left="1701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0B" w:rsidRDefault="00236B0B">
      <w:r>
        <w:separator/>
      </w:r>
    </w:p>
  </w:endnote>
  <w:endnote w:type="continuationSeparator" w:id="0">
    <w:p w:rsidR="00236B0B" w:rsidRDefault="0023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0B" w:rsidRDefault="00236B0B">
      <w:r>
        <w:separator/>
      </w:r>
    </w:p>
  </w:footnote>
  <w:footnote w:type="continuationSeparator" w:id="0">
    <w:p w:rsidR="00236B0B" w:rsidRDefault="0023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25" w:rsidRDefault="00236B0B">
    <w:pPr>
      <w:pStyle w:val="Nagwek"/>
    </w:pPr>
    <w:r>
      <w:rPr>
        <w:noProof/>
        <w:lang w:eastAsia="pl-PL"/>
      </w:rPr>
      <w:drawing>
        <wp:anchor distT="0" distB="0" distL="114300" distR="114300" simplePos="0" relativeHeight="4" behindDoc="1" locked="0" layoutInCell="0" allowOverlap="1">
          <wp:simplePos x="0" y="0"/>
          <wp:positionH relativeFrom="column">
            <wp:posOffset>5319395</wp:posOffset>
          </wp:positionH>
          <wp:positionV relativeFrom="paragraph">
            <wp:posOffset>-1270</wp:posOffset>
          </wp:positionV>
          <wp:extent cx="391795" cy="54356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Burmistrz Leśnej</w:t>
    </w:r>
  </w:p>
  <w:p w:rsidR="007B7425" w:rsidRDefault="00236B0B">
    <w:pPr>
      <w:pStyle w:val="Nagwek"/>
    </w:pPr>
    <w:r>
      <w:t>Rynek 19</w:t>
    </w:r>
  </w:p>
  <w:p w:rsidR="007B7425" w:rsidRDefault="00236B0B">
    <w:pPr>
      <w:pStyle w:val="Nagwek"/>
    </w:pPr>
    <w:r>
      <w:t>59-820 Leśna</w:t>
    </w:r>
  </w:p>
  <w:p w:rsidR="007B7425" w:rsidRDefault="007B7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5"/>
    <w:rsid w:val="00236B0B"/>
    <w:rsid w:val="007B7425"/>
    <w:rsid w:val="009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F1F5-0511-4709-A43F-633094C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13E6"/>
  </w:style>
  <w:style w:type="character" w:customStyle="1" w:styleId="StopkaZnak">
    <w:name w:val="Stopka Znak"/>
    <w:basedOn w:val="Domylnaczcionkaakapitu"/>
    <w:link w:val="Stopka"/>
    <w:uiPriority w:val="99"/>
    <w:qFormat/>
    <w:rsid w:val="003113E6"/>
  </w:style>
  <w:style w:type="character" w:styleId="Hipercze">
    <w:name w:val="Hyperlink"/>
    <w:qFormat/>
    <w:rPr>
      <w:color w:val="0563C1"/>
      <w:u w:val="single"/>
    </w:rPr>
  </w:style>
  <w:style w:type="character" w:styleId="Pogrubienie">
    <w:name w:val="Strong"/>
    <w:qFormat/>
    <w:rPr>
      <w:b/>
    </w:rPr>
  </w:style>
  <w:style w:type="paragraph" w:styleId="Nagwek">
    <w:name w:val="header"/>
    <w:basedOn w:val="Normalny"/>
    <w:next w:val="Tekstpodstawowy"/>
    <w:link w:val="NagwekZnak"/>
    <w:unhideWhenUsed/>
    <w:rsid w:val="003113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3E6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3113E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B3"/>
    <w:rPr>
      <w:rFonts w:ascii="Segoe UI" w:eastAsia="Liberation Serif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537590A-02CC-4DA4-8128-462FE1AF02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Pawłowski</dc:creator>
  <dc:description/>
  <cp:lastModifiedBy>Monika</cp:lastModifiedBy>
  <cp:revision>2</cp:revision>
  <cp:lastPrinted>2023-06-07T05:44:00Z</cp:lastPrinted>
  <dcterms:created xsi:type="dcterms:W3CDTF">2023-06-07T05:48:00Z</dcterms:created>
  <dcterms:modified xsi:type="dcterms:W3CDTF">2023-06-07T05:48:00Z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